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6D07E8">
      <w:pPr>
        <w:spacing w:beforeLines="0" w:afterLines="0"/>
        <w:rPr>
          <w:rFonts w:hint="default"/>
          <w:sz w:val="2"/>
          <w:szCs w:val="24"/>
        </w:rPr>
      </w:pPr>
      <w:bookmarkStart w:id="0" w:name="_GoBack"/>
      <w:bookmarkEnd w:id="0"/>
    </w:p>
    <w:tbl>
      <w:tblPr>
        <w:tblStyle w:val="5"/>
        <w:tblW w:w="8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2"/>
      </w:tblGrid>
      <w:tr w14:paraId="2BEB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44"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10A8290">
            <w:pPr>
              <w:spacing w:beforeLines="0" w:afterLines="0" w:line="525" w:lineRule="exact"/>
              <w:jc w:val="center"/>
              <w:rPr>
                <w:rFonts w:hint="eastAsia" w:ascii="方正小标宋简体" w:hAnsi="Times New Roman" w:eastAsia="方正小标宋简体" w:cs="方正小标宋简体"/>
                <w:sz w:val="44"/>
                <w:szCs w:val="44"/>
              </w:rPr>
            </w:pPr>
          </w:p>
          <w:p w14:paraId="18B31AAF">
            <w:pPr>
              <w:spacing w:beforeLines="0" w:afterLines="0" w:line="525" w:lineRule="exact"/>
              <w:jc w:val="center"/>
              <w:rPr>
                <w:rFonts w:hint="eastAsia" w:ascii="方正小标宋简体" w:hAnsi="Times New Roman" w:eastAsia="方正小标宋简体" w:cs="方正小标宋简体"/>
                <w:sz w:val="44"/>
                <w:szCs w:val="44"/>
              </w:rPr>
            </w:pPr>
          </w:p>
          <w:p w14:paraId="54CB26B8">
            <w:pPr>
              <w:spacing w:beforeLines="0" w:afterLines="0" w:line="525" w:lineRule="exact"/>
              <w:jc w:val="center"/>
              <w:rPr>
                <w:rFonts w:hint="eastAsia" w:ascii="方正小标宋简体" w:hAnsi="Times New Roman" w:eastAsia="方正小标宋简体" w:cs="方正小标宋简体"/>
                <w:sz w:val="44"/>
                <w:szCs w:val="44"/>
              </w:rPr>
            </w:pPr>
          </w:p>
          <w:p w14:paraId="03944D60">
            <w:pPr>
              <w:spacing w:beforeLines="0" w:afterLines="0" w:line="525" w:lineRule="exact"/>
              <w:jc w:val="center"/>
              <w:rPr>
                <w:rFonts w:hint="eastAsia" w:ascii="方正小标宋简体" w:hAnsi="Times New Roman" w:eastAsia="方正小标宋简体" w:cs="方正小标宋简体"/>
                <w:sz w:val="44"/>
                <w:szCs w:val="44"/>
              </w:rPr>
            </w:pPr>
          </w:p>
          <w:p w14:paraId="28F5D2A7">
            <w:pPr>
              <w:spacing w:beforeLines="0" w:afterLines="0" w:line="525" w:lineRule="exact"/>
              <w:jc w:val="center"/>
              <w:rPr>
                <w:rFonts w:hint="eastAsia" w:ascii="方正小标宋简体" w:hAnsi="Times New Roman" w:eastAsia="方正小标宋简体" w:cs="方正小标宋简体"/>
                <w:sz w:val="44"/>
                <w:szCs w:val="44"/>
              </w:rPr>
            </w:pPr>
          </w:p>
          <w:p w14:paraId="7BD160AD">
            <w:pPr>
              <w:spacing w:beforeLines="0" w:afterLines="0" w:line="525" w:lineRule="exact"/>
              <w:jc w:val="center"/>
              <w:rPr>
                <w:rFonts w:hint="eastAsia" w:ascii="方正小标宋简体" w:hAnsi="Times New Roman" w:eastAsia="方正小标宋简体" w:cs="方正小标宋简体"/>
                <w:sz w:val="44"/>
                <w:szCs w:val="44"/>
              </w:rPr>
            </w:pPr>
          </w:p>
          <w:p w14:paraId="4B9FEE26">
            <w:pPr>
              <w:spacing w:beforeLines="0" w:afterLines="0" w:line="525" w:lineRule="exact"/>
              <w:jc w:val="center"/>
              <w:rPr>
                <w:rFonts w:hint="eastAsia" w:ascii="方正小标宋简体" w:hAnsi="Times New Roman" w:eastAsia="方正小标宋简体" w:cs="方正小标宋简体"/>
                <w:sz w:val="44"/>
                <w:szCs w:val="44"/>
              </w:rPr>
            </w:pPr>
          </w:p>
          <w:p w14:paraId="7582935A">
            <w:pPr>
              <w:spacing w:beforeLines="0" w:afterLines="0" w:line="80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202</w:t>
            </w:r>
            <w:r>
              <w:rPr>
                <w:rFonts w:hint="eastAsia" w:ascii="方正小标宋简体" w:hAnsi="Times New Roman" w:eastAsia="方正小标宋简体" w:cs="方正小标宋简体"/>
                <w:sz w:val="44"/>
                <w:szCs w:val="44"/>
                <w:lang w:val="en-US" w:eastAsia="zh-CN"/>
              </w:rPr>
              <w:t>5</w:t>
            </w:r>
            <w:r>
              <w:rPr>
                <w:rFonts w:hint="eastAsia" w:ascii="方正小标宋简体" w:hAnsi="Times New Roman" w:eastAsia="方正小标宋简体" w:cs="方正小标宋简体"/>
                <w:sz w:val="44"/>
                <w:szCs w:val="44"/>
              </w:rPr>
              <w:t>年度</w:t>
            </w:r>
          </w:p>
          <w:p w14:paraId="5C43DD30">
            <w:pPr>
              <w:spacing w:beforeLines="0" w:afterLines="0" w:line="800" w:lineRule="exact"/>
              <w:jc w:val="center"/>
              <w:rPr>
                <w:rFonts w:hint="eastAsia" w:ascii="方正小标宋简体" w:hAnsi="Times New Roman" w:eastAsia="方正小标宋简体" w:cs="方正小标宋简体"/>
                <w:sz w:val="44"/>
                <w:szCs w:val="44"/>
              </w:rPr>
            </w:pPr>
            <w:r>
              <w:rPr>
                <w:rFonts w:hint="eastAsia" w:ascii="方正小标宋简体" w:hAnsi="Times New Roman" w:eastAsia="方正小标宋简体" w:cs="方正小标宋简体"/>
                <w:sz w:val="44"/>
                <w:szCs w:val="44"/>
              </w:rPr>
              <w:t>厦门</w:t>
            </w:r>
            <w:r>
              <w:rPr>
                <w:rFonts w:hint="eastAsia" w:ascii="方正小标宋简体" w:hAnsi="Times New Roman" w:eastAsia="方正小标宋简体" w:cs="方正小标宋简体"/>
                <w:sz w:val="44"/>
                <w:szCs w:val="44"/>
                <w:lang w:eastAsia="zh-CN"/>
              </w:rPr>
              <w:t>书画</w:t>
            </w:r>
            <w:r>
              <w:rPr>
                <w:rFonts w:hint="eastAsia" w:ascii="方正小标宋简体" w:hAnsi="Times New Roman" w:eastAsia="方正小标宋简体" w:cs="方正小标宋简体"/>
                <w:sz w:val="44"/>
                <w:szCs w:val="44"/>
              </w:rPr>
              <w:t>院</w:t>
            </w:r>
            <w:r>
              <w:rPr>
                <w:rFonts w:hint="eastAsia" w:ascii="方正小标宋简体" w:hAnsi="Times New Roman" w:eastAsia="方正小标宋简体" w:cs="方正小标宋简体"/>
                <w:sz w:val="44"/>
                <w:szCs w:val="44"/>
                <w:lang w:eastAsia="zh-CN"/>
              </w:rPr>
              <w:t>单位</w:t>
            </w:r>
            <w:r>
              <w:rPr>
                <w:rFonts w:hint="eastAsia" w:ascii="方正小标宋简体" w:hAnsi="Times New Roman" w:eastAsia="方正小标宋简体" w:cs="方正小标宋简体"/>
                <w:sz w:val="44"/>
                <w:szCs w:val="44"/>
              </w:rPr>
              <w:t>预算</w:t>
            </w:r>
          </w:p>
          <w:p w14:paraId="5FF98501">
            <w:pPr>
              <w:spacing w:beforeLines="0" w:afterLines="0" w:line="800" w:lineRule="exact"/>
              <w:jc w:val="center"/>
              <w:rPr>
                <w:rFonts w:hint="eastAsia" w:ascii="方正小标宋简体" w:hAnsi="Times New Roman" w:eastAsia="方正小标宋简体" w:cs="方正小标宋简体"/>
                <w:sz w:val="44"/>
                <w:szCs w:val="44"/>
              </w:rPr>
            </w:pPr>
          </w:p>
          <w:p w14:paraId="4B0C6D3C">
            <w:pPr>
              <w:spacing w:beforeLines="0" w:afterLines="0" w:line="800" w:lineRule="exact"/>
              <w:jc w:val="center"/>
              <w:rPr>
                <w:rFonts w:hint="eastAsia" w:ascii="方正小标宋简体" w:hAnsi="Times New Roman" w:eastAsia="方正小标宋简体" w:cs="方正小标宋简体"/>
                <w:sz w:val="44"/>
                <w:szCs w:val="44"/>
              </w:rPr>
            </w:pPr>
          </w:p>
          <w:p w14:paraId="3CFB2DBA">
            <w:pPr>
              <w:spacing w:beforeLines="0" w:afterLines="0" w:line="800" w:lineRule="exact"/>
              <w:jc w:val="both"/>
              <w:rPr>
                <w:rFonts w:hint="eastAsia" w:ascii="方正小标宋简体" w:hAnsi="Times New Roman" w:eastAsia="方正小标宋简体" w:cs="方正小标宋简体"/>
                <w:sz w:val="44"/>
                <w:szCs w:val="44"/>
              </w:rPr>
            </w:pPr>
          </w:p>
          <w:p w14:paraId="60D4BA42">
            <w:pPr>
              <w:spacing w:beforeLines="0" w:afterLines="0" w:line="800" w:lineRule="exact"/>
              <w:jc w:val="center"/>
              <w:rPr>
                <w:rFonts w:hint="eastAsia" w:ascii="方正小标宋简体" w:hAnsi="Times New Roman" w:eastAsia="方正小标宋简体" w:cs="方正小标宋简体"/>
                <w:sz w:val="44"/>
                <w:szCs w:val="44"/>
              </w:rPr>
            </w:pPr>
          </w:p>
          <w:p w14:paraId="6E3342B5">
            <w:pPr>
              <w:spacing w:beforeLines="0" w:afterLines="0" w:line="800" w:lineRule="exact"/>
              <w:jc w:val="center"/>
              <w:rPr>
                <w:rFonts w:hint="eastAsia" w:ascii="方正小标宋简体" w:hAnsi="Times New Roman" w:eastAsia="方正小标宋简体" w:cs="方正小标宋简体"/>
                <w:sz w:val="44"/>
                <w:szCs w:val="44"/>
              </w:rPr>
            </w:pPr>
          </w:p>
          <w:p w14:paraId="6101A3CA">
            <w:pPr>
              <w:spacing w:beforeLines="0" w:afterLines="0" w:line="800" w:lineRule="exact"/>
              <w:jc w:val="center"/>
              <w:rPr>
                <w:rFonts w:hint="eastAsia" w:ascii="方正小标宋简体" w:hAnsi="Times New Roman" w:eastAsia="方正小标宋简体" w:cs="方正小标宋简体"/>
                <w:sz w:val="44"/>
                <w:szCs w:val="44"/>
              </w:rPr>
            </w:pPr>
          </w:p>
          <w:p w14:paraId="665C64CC">
            <w:pPr>
              <w:spacing w:beforeLines="0" w:afterLines="0" w:line="800" w:lineRule="exact"/>
              <w:jc w:val="center"/>
              <w:rPr>
                <w:rFonts w:hint="eastAsia" w:ascii="方正小标宋简体" w:hAnsi="Times New Roman" w:eastAsia="方正小标宋简体" w:cs="方正小标宋简体"/>
                <w:sz w:val="44"/>
                <w:szCs w:val="44"/>
              </w:rPr>
            </w:pPr>
          </w:p>
          <w:p w14:paraId="4AB5BCE8">
            <w:pPr>
              <w:spacing w:beforeLines="0" w:afterLines="0" w:line="800" w:lineRule="exact"/>
              <w:jc w:val="center"/>
              <w:rPr>
                <w:rFonts w:hint="eastAsia" w:ascii="方正小标宋简体" w:hAnsi="Times New Roman" w:eastAsia="方正小标宋简体" w:cs="方正小标宋简体"/>
                <w:sz w:val="44"/>
                <w:szCs w:val="44"/>
              </w:rPr>
            </w:pPr>
          </w:p>
          <w:p w14:paraId="7FEEE44A">
            <w:pPr>
              <w:spacing w:beforeLines="0" w:afterLines="0" w:line="800" w:lineRule="exact"/>
              <w:jc w:val="center"/>
              <w:rPr>
                <w:rFonts w:hint="eastAsia" w:ascii="方正小标宋简体" w:hAnsi="Times New Roman" w:eastAsia="方正小标宋简体" w:cs="方正小标宋简体"/>
                <w:sz w:val="44"/>
                <w:szCs w:val="44"/>
              </w:rPr>
            </w:pPr>
          </w:p>
          <w:p w14:paraId="085C0EF8">
            <w:pPr>
              <w:spacing w:beforeLines="0" w:afterLines="0" w:line="525" w:lineRule="exact"/>
              <w:jc w:val="center"/>
              <w:rPr>
                <w:rFonts w:hint="eastAsia" w:ascii="方正小标宋简体" w:hAnsi="方正小标宋简体" w:eastAsia="方正小标宋简体"/>
                <w:sz w:val="44"/>
                <w:szCs w:val="24"/>
              </w:rPr>
            </w:pPr>
          </w:p>
          <w:p w14:paraId="233B0DD4">
            <w:pPr>
              <w:spacing w:beforeLines="0" w:afterLines="0" w:line="525" w:lineRule="exact"/>
              <w:jc w:val="center"/>
              <w:rPr>
                <w:rFonts w:hint="eastAsia" w:ascii="方正小标宋简体" w:hAnsi="方正小标宋简体" w:eastAsia="方正小标宋简体"/>
                <w:sz w:val="44"/>
                <w:szCs w:val="24"/>
              </w:rPr>
            </w:pPr>
          </w:p>
          <w:p w14:paraId="2119D2D0">
            <w:pPr>
              <w:spacing w:beforeLines="0" w:afterLines="0" w:line="525" w:lineRule="exact"/>
              <w:jc w:val="center"/>
              <w:rPr>
                <w:rFonts w:hint="eastAsia" w:ascii="黑体" w:hAnsi="黑体" w:eastAsia="黑体"/>
                <w:sz w:val="30"/>
                <w:szCs w:val="24"/>
              </w:rPr>
            </w:pPr>
            <w:r>
              <w:rPr>
                <w:rFonts w:hint="eastAsia" w:ascii="方正小标宋简体" w:hAnsi="方正小标宋简体" w:eastAsia="方正小标宋简体"/>
                <w:sz w:val="44"/>
                <w:szCs w:val="24"/>
              </w:rPr>
              <w:t>2025年度厦门书画院单位预算</w:t>
            </w:r>
          </w:p>
          <w:p w14:paraId="4D97E9F1">
            <w:pPr>
              <w:spacing w:beforeLines="0" w:afterLines="0" w:line="525" w:lineRule="exact"/>
              <w:jc w:val="center"/>
              <w:rPr>
                <w:rFonts w:hint="eastAsia" w:ascii="黑体" w:hAnsi="黑体" w:eastAsia="黑体"/>
                <w:sz w:val="30"/>
                <w:szCs w:val="24"/>
              </w:rPr>
            </w:pPr>
          </w:p>
          <w:p w14:paraId="47A4FDB5">
            <w:pPr>
              <w:spacing w:beforeLines="0" w:afterLines="0" w:line="525" w:lineRule="exact"/>
              <w:jc w:val="center"/>
              <w:rPr>
                <w:rFonts w:hint="eastAsia" w:ascii="黑体" w:hAnsi="黑体" w:eastAsia="黑体"/>
                <w:sz w:val="32"/>
                <w:szCs w:val="24"/>
              </w:rPr>
            </w:pPr>
            <w:r>
              <w:rPr>
                <w:rFonts w:hint="eastAsia" w:ascii="黑体" w:hAnsi="黑体" w:eastAsia="黑体"/>
                <w:sz w:val="32"/>
                <w:szCs w:val="24"/>
              </w:rPr>
              <w:t>目　　录</w:t>
            </w:r>
          </w:p>
        </w:tc>
      </w:tr>
      <w:tr w14:paraId="5839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F9CA28">
            <w:pPr>
              <w:spacing w:beforeLines="0" w:afterLines="0" w:line="555" w:lineRule="exact"/>
              <w:rPr>
                <w:rFonts w:hint="eastAsia" w:ascii="仿宋" w:hAnsi="仿宋" w:eastAsia="仿宋"/>
                <w:sz w:val="32"/>
                <w:szCs w:val="24"/>
              </w:rPr>
            </w:pPr>
            <w:r>
              <w:rPr>
                <w:rFonts w:hint="eastAsia" w:ascii="黑体" w:hAnsi="黑体" w:eastAsia="黑体"/>
                <w:sz w:val="32"/>
                <w:szCs w:val="24"/>
              </w:rPr>
              <w:t>　　第一部分   单位概况</w:t>
            </w:r>
          </w:p>
          <w:p w14:paraId="3D4162F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一、单位主要职责</w:t>
            </w:r>
          </w:p>
          <w:p w14:paraId="4C0A73B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二、单位基本情况</w:t>
            </w:r>
          </w:p>
          <w:p w14:paraId="660581AA">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三、单位主要工作任务</w:t>
            </w:r>
          </w:p>
          <w:p w14:paraId="2E967BD8">
            <w:pPr>
              <w:spacing w:beforeLines="0" w:afterLines="0" w:line="555" w:lineRule="exact"/>
              <w:rPr>
                <w:rFonts w:hint="eastAsia" w:ascii="黑体" w:hAnsi="黑体" w:eastAsia="黑体"/>
                <w:sz w:val="32"/>
                <w:szCs w:val="24"/>
              </w:rPr>
            </w:pPr>
            <w:r>
              <w:rPr>
                <w:rFonts w:hint="eastAsia" w:ascii="黑体" w:hAnsi="黑体" w:eastAsia="黑体"/>
                <w:sz w:val="32"/>
                <w:szCs w:val="24"/>
              </w:rPr>
              <w:t>　　第二部分   2025年单位预算说明</w:t>
            </w:r>
          </w:p>
          <w:p w14:paraId="42B3882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一、2025年单位预算收支总体情况</w:t>
            </w:r>
          </w:p>
          <w:p w14:paraId="64AEF2E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二、一般公共预算财政拨款支出预算情况</w:t>
            </w:r>
          </w:p>
          <w:p w14:paraId="54F2B5F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三、政府性基金预算财政拨款支出情况</w:t>
            </w:r>
          </w:p>
          <w:p w14:paraId="19C82A9E">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四、“三公”经费财政拨款预算情况</w:t>
            </w:r>
          </w:p>
          <w:p w14:paraId="2A7C7435">
            <w:pPr>
              <w:spacing w:beforeLines="0" w:afterLines="0" w:line="555" w:lineRule="exact"/>
              <w:rPr>
                <w:rFonts w:hint="eastAsia" w:ascii="黑体" w:hAnsi="黑体" w:eastAsia="黑体"/>
                <w:sz w:val="32"/>
                <w:szCs w:val="24"/>
              </w:rPr>
            </w:pPr>
            <w:r>
              <w:rPr>
                <w:rFonts w:hint="eastAsia" w:ascii="仿宋_GB2312" w:hAnsi="仿宋_GB2312" w:eastAsia="仿宋_GB2312"/>
                <w:sz w:val="32"/>
                <w:szCs w:val="24"/>
              </w:rPr>
              <w:t>　　五、其他重要事项的情况说明</w:t>
            </w:r>
          </w:p>
          <w:p w14:paraId="0D33C6F9">
            <w:pPr>
              <w:spacing w:beforeLines="0" w:afterLines="0" w:line="555" w:lineRule="exact"/>
              <w:rPr>
                <w:rFonts w:hint="eastAsia" w:ascii="黑体" w:hAnsi="黑体" w:eastAsia="黑体"/>
                <w:sz w:val="32"/>
                <w:szCs w:val="24"/>
              </w:rPr>
            </w:pPr>
            <w:r>
              <w:rPr>
                <w:rFonts w:hint="eastAsia" w:ascii="黑体" w:hAnsi="黑体" w:eastAsia="黑体"/>
                <w:sz w:val="32"/>
                <w:szCs w:val="24"/>
              </w:rPr>
              <w:t>　　第三部分   名词解释</w:t>
            </w:r>
          </w:p>
          <w:p w14:paraId="21226324">
            <w:pPr>
              <w:spacing w:beforeLines="0" w:afterLines="0" w:line="555" w:lineRule="exact"/>
              <w:rPr>
                <w:rFonts w:hint="eastAsia" w:ascii="黑体" w:hAnsi="黑体" w:eastAsia="黑体"/>
                <w:sz w:val="32"/>
                <w:szCs w:val="24"/>
              </w:rPr>
            </w:pPr>
            <w:r>
              <w:rPr>
                <w:rFonts w:hint="eastAsia" w:ascii="黑体" w:hAnsi="黑体" w:eastAsia="黑体"/>
                <w:sz w:val="32"/>
                <w:szCs w:val="24"/>
              </w:rPr>
              <w:t>　　第四部分   2025年单位预算附表</w:t>
            </w:r>
          </w:p>
          <w:p w14:paraId="1CB0C81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6114F61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221A0D2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7B733B8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19C8D2B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五、 一般公共预算支出情况表</w:t>
            </w:r>
          </w:p>
          <w:p w14:paraId="2EAEC1DC">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六、一般公共预算基本支出情况表（经济分类款级科目）</w:t>
            </w:r>
          </w:p>
          <w:p w14:paraId="01AA60F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235CCE2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14:paraId="64282445">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九、市对区转移支付支出预算表</w:t>
            </w:r>
          </w:p>
        </w:tc>
      </w:tr>
      <w:tr w14:paraId="55D3C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A585F3">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第一部分  单位概况</w:t>
            </w:r>
          </w:p>
        </w:tc>
      </w:tr>
      <w:tr w14:paraId="78E12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140472">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一、单位主要职责</w:t>
            </w:r>
          </w:p>
          <w:p w14:paraId="7FF64070">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厦门书画院的主要职责是：</w:t>
            </w:r>
          </w:p>
          <w:p w14:paraId="5590C246">
            <w:pPr>
              <w:spacing w:beforeLines="0" w:afterLines="0" w:line="555" w:lineRule="exact"/>
              <w:rPr>
                <w:rFonts w:hint="default" w:ascii="??_GB2312" w:hAnsi="??_GB2312" w:eastAsia="仿宋_GB2312" w:cs="??_GB2312"/>
                <w:sz w:val="32"/>
                <w:szCs w:val="32"/>
              </w:rPr>
            </w:pPr>
            <w:r>
              <w:rPr>
                <w:rFonts w:hint="eastAsia" w:ascii="仿宋_GB2312" w:hAnsi="仿宋_GB2312" w:eastAsia="仿宋_GB2312"/>
                <w:sz w:val="32"/>
                <w:szCs w:val="24"/>
              </w:rPr>
              <w:t>　　</w:t>
            </w:r>
            <w:r>
              <w:rPr>
                <w:rFonts w:hint="eastAsia" w:ascii="仿宋_GB2312" w:hAnsi="??_GB2312" w:eastAsia="仿宋_GB2312" w:cs="仿宋_GB2312"/>
                <w:sz w:val="32"/>
                <w:szCs w:val="32"/>
              </w:rPr>
              <w:t>（一）</w:t>
            </w:r>
            <w:r>
              <w:rPr>
                <w:rFonts w:hint="eastAsia" w:ascii="仿宋" w:hAnsi="仿宋" w:eastAsia="仿宋" w:cs="宋体"/>
                <w:sz w:val="32"/>
                <w:szCs w:val="32"/>
                <w:lang w:val="zh-CN"/>
              </w:rPr>
              <w:t>开展书画创作、研究、培训</w:t>
            </w:r>
            <w:r>
              <w:rPr>
                <w:rFonts w:hint="eastAsia" w:ascii="仿宋_GB2312" w:hAnsi="??_GB2312" w:eastAsia="仿宋_GB2312" w:cs="仿宋_GB2312"/>
                <w:sz w:val="32"/>
                <w:szCs w:val="32"/>
              </w:rPr>
              <w:t>。</w:t>
            </w:r>
          </w:p>
          <w:p w14:paraId="48F88D83">
            <w:pPr>
              <w:spacing w:beforeLines="0" w:afterLines="0" w:line="555" w:lineRule="exact"/>
              <w:rPr>
                <w:rFonts w:hint="default" w:ascii="??_GB2312" w:hAnsi="??_GB2312" w:eastAsia="仿宋_GB2312" w:cs="??_GB2312"/>
                <w:sz w:val="32"/>
                <w:szCs w:val="32"/>
              </w:rPr>
            </w:pPr>
            <w:r>
              <w:rPr>
                <w:rFonts w:hint="eastAsia" w:ascii="仿宋_GB2312" w:hAnsi="??_GB2312" w:eastAsia="仿宋_GB2312" w:cs="仿宋_GB2312"/>
                <w:sz w:val="32"/>
                <w:szCs w:val="32"/>
              </w:rPr>
              <w:t>　　（二）</w:t>
            </w:r>
            <w:r>
              <w:rPr>
                <w:rFonts w:hint="eastAsia" w:ascii="仿宋" w:hAnsi="仿宋" w:eastAsia="仿宋" w:cs="宋体"/>
                <w:sz w:val="32"/>
                <w:szCs w:val="32"/>
                <w:lang w:val="zh-CN"/>
              </w:rPr>
              <w:t>组织书画艺术交流</w:t>
            </w:r>
            <w:r>
              <w:rPr>
                <w:rFonts w:hint="eastAsia" w:ascii="仿宋_GB2312" w:hAnsi="??_GB2312" w:eastAsia="仿宋_GB2312" w:cs="仿宋_GB2312"/>
                <w:sz w:val="32"/>
                <w:szCs w:val="32"/>
              </w:rPr>
              <w:t>。</w:t>
            </w:r>
          </w:p>
          <w:p w14:paraId="2262DC5B">
            <w:pPr>
              <w:spacing w:beforeLines="0" w:afterLines="0" w:line="555" w:lineRule="exact"/>
              <w:rPr>
                <w:rFonts w:hint="eastAsia" w:ascii="黑体" w:hAnsi="黑体" w:eastAsia="黑体"/>
                <w:sz w:val="32"/>
                <w:szCs w:val="24"/>
              </w:rPr>
            </w:pPr>
            <w:r>
              <w:rPr>
                <w:rFonts w:hint="eastAsia" w:ascii="仿宋_GB2312" w:hAnsi="??_GB2312" w:eastAsia="仿宋_GB2312" w:cs="仿宋_GB2312"/>
                <w:sz w:val="32"/>
                <w:szCs w:val="32"/>
              </w:rPr>
              <w:t>　　（三）</w:t>
            </w:r>
            <w:r>
              <w:rPr>
                <w:rFonts w:hint="eastAsia" w:ascii="仿宋" w:hAnsi="仿宋" w:eastAsia="仿宋" w:cs="宋体"/>
                <w:sz w:val="32"/>
                <w:szCs w:val="32"/>
                <w:lang w:val="zh-CN"/>
              </w:rPr>
              <w:t>承办书画展览、笔会、研讨会及艺术品收藏等</w:t>
            </w:r>
            <w:r>
              <w:rPr>
                <w:rFonts w:hint="eastAsia" w:ascii="仿宋_GB2312" w:hAnsi="??_GB2312" w:eastAsia="仿宋_GB2312" w:cs="仿宋_GB2312"/>
                <w:sz w:val="32"/>
                <w:szCs w:val="32"/>
              </w:rPr>
              <w:t>。</w:t>
            </w:r>
            <w:r>
              <w:rPr>
                <w:rFonts w:hint="eastAsia" w:ascii="仿宋_GB2312" w:hAnsi="仿宋_GB2312" w:eastAsia="仿宋_GB2312"/>
                <w:sz w:val="32"/>
                <w:szCs w:val="24"/>
              </w:rPr>
              <w:t>　　</w:t>
            </w:r>
          </w:p>
          <w:p w14:paraId="5C396129">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二、单位基本情况</w:t>
            </w:r>
          </w:p>
          <w:p w14:paraId="2C7EA1DC">
            <w:pPr>
              <w:spacing w:beforeLines="0" w:afterLines="0" w:line="555" w:lineRule="exact"/>
              <w:rPr>
                <w:rFonts w:hint="eastAsia" w:ascii="仿宋_GB2312" w:hAnsi="仿宋_GB2312" w:eastAsia="仿宋_GB2312"/>
                <w:sz w:val="24"/>
                <w:szCs w:val="24"/>
              </w:rPr>
            </w:pPr>
            <w:r>
              <w:rPr>
                <w:rFonts w:hint="eastAsia" w:ascii="仿宋_GB2312" w:hAnsi="仿宋_GB2312" w:eastAsia="仿宋_GB2312"/>
                <w:sz w:val="32"/>
                <w:szCs w:val="24"/>
              </w:rPr>
              <w:t>　　厦门书画院内设</w:t>
            </w:r>
            <w:r>
              <w:rPr>
                <w:rFonts w:hint="eastAsia" w:ascii="仿宋_GB2312" w:hAnsi="仿宋_GB2312" w:eastAsia="仿宋_GB2312"/>
                <w:sz w:val="32"/>
                <w:szCs w:val="24"/>
                <w:lang w:val="en-US" w:eastAsia="zh-CN"/>
              </w:rPr>
              <w:t>1</w:t>
            </w:r>
            <w:r>
              <w:rPr>
                <w:rFonts w:hint="eastAsia" w:ascii="仿宋_GB2312" w:hAnsi="仿宋_GB2312" w:eastAsia="仿宋_GB2312"/>
                <w:sz w:val="32"/>
                <w:szCs w:val="24"/>
              </w:rPr>
              <w:t>个科室，</w:t>
            </w:r>
            <w:r>
              <w:rPr>
                <w:rFonts w:hint="eastAsia" w:ascii="仿宋_GB2312" w:hAnsi="??_GB2312" w:eastAsia="仿宋_GB2312" w:cs="仿宋_GB2312"/>
                <w:color w:val="auto"/>
                <w:sz w:val="32"/>
                <w:szCs w:val="32"/>
              </w:rPr>
              <w:t>包括</w:t>
            </w:r>
            <w:r>
              <w:rPr>
                <w:rFonts w:hint="eastAsia" w:ascii="仿宋_GB2312" w:hAnsi="??_GB2312" w:eastAsia="仿宋_GB2312" w:cs="仿宋_GB2312"/>
                <w:color w:val="auto"/>
                <w:sz w:val="24"/>
                <w:szCs w:val="24"/>
              </w:rPr>
              <w:t>：</w:t>
            </w:r>
            <w:r>
              <w:rPr>
                <w:rFonts w:hint="eastAsia" w:ascii="仿宋" w:hAnsi="仿宋" w:eastAsia="仿宋" w:cs="宋体"/>
                <w:color w:val="auto"/>
                <w:sz w:val="32"/>
                <w:szCs w:val="32"/>
                <w:lang w:val="zh-CN"/>
              </w:rPr>
              <w:t>在职人数</w:t>
            </w:r>
            <w:r>
              <w:rPr>
                <w:rFonts w:hint="eastAsia" w:ascii="仿宋" w:hAnsi="仿宋" w:eastAsia="仿宋" w:cs="方正小标宋简体"/>
                <w:color w:val="auto"/>
                <w:sz w:val="32"/>
                <w:szCs w:val="32"/>
                <w:lang w:val="en-US" w:eastAsia="zh-CN"/>
              </w:rPr>
              <w:t>5</w:t>
            </w:r>
            <w:r>
              <w:rPr>
                <w:rFonts w:hint="eastAsia" w:ascii="仿宋" w:hAnsi="仿宋" w:eastAsia="仿宋" w:cs="宋体"/>
                <w:color w:val="auto"/>
                <w:sz w:val="32"/>
                <w:szCs w:val="32"/>
                <w:lang w:val="zh-CN"/>
              </w:rPr>
              <w:t>人</w:t>
            </w:r>
            <w:r>
              <w:rPr>
                <w:rFonts w:hint="eastAsia" w:ascii="仿宋_GB2312" w:hAnsi="??_GB2312" w:eastAsia="仿宋_GB2312" w:cs="仿宋_GB2312"/>
                <w:color w:val="auto"/>
                <w:sz w:val="32"/>
                <w:szCs w:val="32"/>
              </w:rPr>
              <w:t>。</w:t>
            </w:r>
          </w:p>
        </w:tc>
      </w:tr>
      <w:tr w14:paraId="41A59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3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99616AF">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三、单位主要工作任务</w:t>
            </w:r>
          </w:p>
          <w:p w14:paraId="7F634E8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2025年，厦门书画院主要任务是：</w:t>
            </w:r>
            <w:r>
              <w:rPr>
                <w:rFonts w:hint="eastAsia" w:ascii="仿宋_GB2312" w:hAnsi="??_GB2312" w:eastAsia="仿宋_GB2312" w:cs="仿宋_GB2312"/>
                <w:sz w:val="32"/>
                <w:szCs w:val="32"/>
              </w:rPr>
              <w:t>：</w:t>
            </w:r>
            <w:r>
              <w:rPr>
                <w:rFonts w:hint="eastAsia" w:ascii="仿宋_GB2312" w:hAnsi="仿宋_GB2312" w:eastAsia="仿宋_GB2312" w:cs="仿宋_GB2312"/>
                <w:sz w:val="32"/>
                <w:szCs w:val="32"/>
              </w:rPr>
              <w:t>促进厦门文化艺术交流，助力厦门打造“文化中心、艺术之城、音乐之岛”</w:t>
            </w:r>
            <w:r>
              <w:rPr>
                <w:rFonts w:hint="eastAsia" w:ascii="仿宋_GB2312" w:hAnsi="??_GB2312" w:eastAsia="仿宋_GB2312" w:cs="仿宋_GB2312"/>
                <w:sz w:val="32"/>
                <w:szCs w:val="32"/>
              </w:rPr>
              <w:t>。</w:t>
            </w:r>
            <w:r>
              <w:rPr>
                <w:rFonts w:hint="eastAsia" w:ascii="仿宋_GB2312" w:hAnsi="仿宋_GB2312" w:eastAsia="仿宋_GB2312"/>
                <w:sz w:val="32"/>
                <w:szCs w:val="24"/>
              </w:rPr>
              <w:t>围绕上述任务，重点抓好以下工作：</w:t>
            </w:r>
          </w:p>
          <w:p w14:paraId="2A44C95C">
            <w:pPr>
              <w:spacing w:beforeLines="0" w:afterLines="0" w:line="540" w:lineRule="exact"/>
              <w:rPr>
                <w:rFonts w:hint="default" w:ascii="??_GB2312" w:hAnsi="??_GB2312" w:eastAsia="仿宋_GB2312" w:cs="??_GB2312"/>
                <w:sz w:val="32"/>
                <w:szCs w:val="32"/>
              </w:rPr>
            </w:pPr>
            <w:r>
              <w:rPr>
                <w:rFonts w:hint="eastAsia" w:ascii="仿宋_GB2312" w:hAnsi="仿宋_GB2312" w:eastAsia="仿宋_GB2312"/>
                <w:sz w:val="32"/>
                <w:szCs w:val="24"/>
              </w:rPr>
              <w:t>　　</w:t>
            </w:r>
            <w:r>
              <w:rPr>
                <w:rFonts w:hint="eastAsia" w:ascii="仿宋_GB2312" w:hAnsi="??_GB2312" w:eastAsia="仿宋_GB2312" w:cs="仿宋_GB2312"/>
                <w:sz w:val="32"/>
                <w:szCs w:val="32"/>
              </w:rPr>
              <w:t>（一）</w:t>
            </w:r>
            <w:r>
              <w:rPr>
                <w:rFonts w:hint="eastAsia" w:ascii="仿宋_GB2312" w:hAnsi="??_GB2312" w:eastAsia="仿宋_GB2312" w:cs="仿宋_GB2312"/>
                <w:sz w:val="32"/>
                <w:szCs w:val="32"/>
                <w:lang w:eastAsia="zh-CN"/>
              </w:rPr>
              <w:t>举办</w:t>
            </w:r>
            <w:r>
              <w:rPr>
                <w:rFonts w:hint="eastAsia" w:ascii="仿宋" w:hAnsi="仿宋" w:eastAsia="仿宋" w:cs="宋体"/>
                <w:sz w:val="32"/>
                <w:szCs w:val="32"/>
                <w:lang w:val="zh-CN"/>
              </w:rPr>
              <w:t>福建省花鸟画（厦门）艺术大展、厦门画师展及公益展览等。</w:t>
            </w:r>
          </w:p>
          <w:p w14:paraId="4FF8256D">
            <w:pPr>
              <w:spacing w:beforeLines="0" w:afterLines="0" w:line="555" w:lineRule="exact"/>
              <w:rPr>
                <w:rFonts w:hint="default" w:ascii="??_GB2312" w:hAnsi="??_GB2312" w:eastAsia="仿宋_GB2312" w:cs="??_GB2312"/>
                <w:sz w:val="32"/>
                <w:szCs w:val="32"/>
              </w:rPr>
            </w:pPr>
            <w:r>
              <w:rPr>
                <w:rFonts w:hint="eastAsia" w:ascii="仿宋_GB2312" w:hAnsi="??_GB2312" w:eastAsia="仿宋_GB2312" w:cs="仿宋_GB2312"/>
                <w:sz w:val="32"/>
                <w:szCs w:val="32"/>
              </w:rPr>
              <w:t>　　（二）</w:t>
            </w:r>
            <w:r>
              <w:rPr>
                <w:rFonts w:hint="eastAsia" w:ascii="仿宋" w:hAnsi="仿宋" w:eastAsia="仿宋" w:cs="宋体"/>
                <w:sz w:val="32"/>
                <w:szCs w:val="32"/>
                <w:lang w:val="zh-CN"/>
              </w:rPr>
              <w:t>组织书画艺术交流与研讨、</w:t>
            </w:r>
            <w:r>
              <w:rPr>
                <w:rFonts w:hint="eastAsia" w:ascii="仿宋" w:hAnsi="仿宋" w:eastAsia="仿宋" w:cs="宋体"/>
                <w:sz w:val="32"/>
                <w:szCs w:val="32"/>
                <w:lang w:val="zh-CN" w:eastAsia="zh-CN"/>
              </w:rPr>
              <w:t>“</w:t>
            </w:r>
            <w:r>
              <w:rPr>
                <w:rFonts w:hint="eastAsia" w:ascii="仿宋" w:hAnsi="仿宋" w:eastAsia="仿宋" w:cs="宋体"/>
                <w:sz w:val="32"/>
                <w:szCs w:val="32"/>
                <w:lang w:val="zh-CN"/>
              </w:rPr>
              <w:t>文化三下乡”活动</w:t>
            </w:r>
            <w:r>
              <w:rPr>
                <w:rFonts w:hint="eastAsia" w:ascii="仿宋_GB2312" w:hAnsi="??_GB2312" w:eastAsia="仿宋_GB2312" w:cs="仿宋_GB2312"/>
                <w:sz w:val="32"/>
                <w:szCs w:val="32"/>
              </w:rPr>
              <w:t>。</w:t>
            </w:r>
          </w:p>
          <w:p w14:paraId="707C5D5D">
            <w:pPr>
              <w:spacing w:beforeLines="0" w:afterLines="0" w:line="555" w:lineRule="exact"/>
              <w:rPr>
                <w:rFonts w:hint="eastAsia" w:ascii="仿宋_GB2312" w:hAnsi="仿宋_GB2312" w:eastAsia="仿宋_GB2312"/>
                <w:sz w:val="32"/>
                <w:szCs w:val="24"/>
              </w:rPr>
            </w:pPr>
            <w:r>
              <w:rPr>
                <w:rFonts w:hint="eastAsia" w:ascii="仿宋_GB2312" w:hAnsi="??_GB2312" w:eastAsia="仿宋_GB2312" w:cs="仿宋_GB2312"/>
                <w:sz w:val="32"/>
                <w:szCs w:val="32"/>
              </w:rPr>
              <w:t>　　（三）</w:t>
            </w:r>
            <w:r>
              <w:rPr>
                <w:rFonts w:hint="eastAsia" w:ascii="仿宋" w:hAnsi="仿宋" w:eastAsia="仿宋" w:cs="宋体"/>
                <w:sz w:val="32"/>
                <w:szCs w:val="32"/>
                <w:lang w:val="zh-CN"/>
              </w:rPr>
              <w:t>做好书画艺术培训与收藏</w:t>
            </w:r>
            <w:r>
              <w:rPr>
                <w:rFonts w:hint="eastAsia" w:ascii="仿宋_GB2312" w:hAnsi="??_GB2312" w:eastAsia="仿宋_GB2312" w:cs="仿宋_GB2312"/>
                <w:sz w:val="32"/>
                <w:szCs w:val="32"/>
              </w:rPr>
              <w:t>。</w:t>
            </w:r>
          </w:p>
        </w:tc>
      </w:tr>
      <w:tr w14:paraId="154B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9CDF00">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第二部分  2025年单位预算说明</w:t>
            </w:r>
          </w:p>
        </w:tc>
      </w:tr>
      <w:tr w14:paraId="61E59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44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CDC42D">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一、2025年单位预算收支总体情况</w:t>
            </w:r>
          </w:p>
          <w:p w14:paraId="3456CBF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根据预算管理的有关规定，单位的全部收入和支出均纳入部门预算管理。</w:t>
            </w:r>
          </w:p>
          <w:p w14:paraId="2A04B1A9">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（一）厦门书画院2025年收入预算为210.60万元，比2024年预算数增加8.94万元，增长4.43％，具体情况如下：</w:t>
            </w:r>
          </w:p>
          <w:p w14:paraId="6AF7B12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1.财政拨款收入210.60万元，其中一般公共预算拨款收入210.60万元，政府性基金拨款收入0.00万元，国有资本经营预算拨款收入0.00万元；</w:t>
            </w:r>
          </w:p>
          <w:p w14:paraId="688F934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2.财政专户管理资金收入0.00万元；</w:t>
            </w:r>
          </w:p>
          <w:p w14:paraId="505D8915">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3.事业收入0.00万元；</w:t>
            </w:r>
          </w:p>
          <w:p w14:paraId="5B784AD1">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4.事业单位经营收入0.00万元；</w:t>
            </w:r>
          </w:p>
          <w:p w14:paraId="28C8880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5.上级补助收入0.00万元；</w:t>
            </w:r>
          </w:p>
          <w:p w14:paraId="36BEFEA3">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6.附属单位上缴收入0.00万元；</w:t>
            </w:r>
          </w:p>
          <w:p w14:paraId="69452390">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7.其他收入0.00万元；</w:t>
            </w:r>
          </w:p>
          <w:p w14:paraId="7DCEEC8B">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8.上年结转结余0.00万元。</w:t>
            </w:r>
          </w:p>
        </w:tc>
      </w:tr>
      <w:tr w14:paraId="2AEF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263"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70B0E5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（二）厦门书画院2025年支出预算为210.60万元（不含市对区转移支付项目），比2024年预算数增加8.94万元，增长4.43％，具体情况如下：</w:t>
            </w:r>
          </w:p>
          <w:p w14:paraId="2C64A65A">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1.财政拨款基本支出180.60万元，其中，人员支出169.49万元，公用支出11.11万元；</w:t>
            </w:r>
          </w:p>
          <w:p w14:paraId="0C9C8D8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2.财政拨款项目支出30.00万元；</w:t>
            </w:r>
          </w:p>
          <w:p w14:paraId="0E8E5A4F">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3.非财政拨款支出0.00万元。</w:t>
            </w:r>
          </w:p>
          <w:p w14:paraId="4B576F22">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（三）厦门书画院2025年市对区转移支付项目预算为</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万元。</w:t>
            </w:r>
          </w:p>
        </w:tc>
      </w:tr>
      <w:tr w14:paraId="382A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1B1A27">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二、一般公共预算财政拨款支出预算情况</w:t>
            </w:r>
          </w:p>
          <w:p w14:paraId="4A116AA4">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2025年度一般公共预算支出210.60万元（不含市对区转移支付项目），比2024年预算数增加8.94万元，增长4.43%，主要是由于</w:t>
            </w:r>
            <w:r>
              <w:rPr>
                <w:rFonts w:hint="eastAsia" w:ascii="仿宋_GB2312" w:hAnsi="仿宋_GB2312" w:eastAsia="仿宋_GB2312"/>
                <w:sz w:val="32"/>
                <w:szCs w:val="24"/>
                <w:lang w:eastAsia="zh-CN"/>
              </w:rPr>
              <w:t>在职人数增加</w:t>
            </w:r>
            <w:r>
              <w:rPr>
                <w:rFonts w:hint="eastAsia" w:ascii="仿宋_GB2312" w:hAnsi="仿宋_GB2312" w:eastAsia="仿宋_GB2312"/>
                <w:sz w:val="32"/>
                <w:szCs w:val="24"/>
              </w:rPr>
              <w:t>。支出项目(按项级科目分类统计)包括：</w:t>
            </w:r>
          </w:p>
        </w:tc>
      </w:tr>
      <w:tr w14:paraId="6E59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F3F908C">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　　1.文化旅游体育与传媒支出（类）文化和旅游（款）文化和旅游交流与合作（项）151.93万元。主要用于</w:t>
            </w:r>
            <w:r>
              <w:rPr>
                <w:rFonts w:hint="eastAsia" w:ascii="仿宋" w:hAnsi="仿宋" w:eastAsia="仿宋" w:cs="宋体"/>
                <w:sz w:val="32"/>
                <w:szCs w:val="32"/>
                <w:lang w:val="zh-CN"/>
              </w:rPr>
              <w:t>人员工资及日常事务性</w:t>
            </w:r>
            <w:r>
              <w:rPr>
                <w:rFonts w:hint="eastAsia" w:ascii="仿宋_GB2312" w:hAnsi="Times New Roman" w:eastAsia="仿宋_GB2312" w:cs="仿宋_GB2312"/>
                <w:sz w:val="32"/>
                <w:szCs w:val="32"/>
              </w:rPr>
              <w:t>支出。</w:t>
            </w:r>
          </w:p>
        </w:tc>
      </w:tr>
      <w:tr w14:paraId="4D7A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227416">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　　2.社会保障和就业支出（类）行政事业单位养老支出（款）事业单位离退休（项）38.15万元。主要用于</w:t>
            </w:r>
            <w:r>
              <w:rPr>
                <w:rFonts w:hint="eastAsia" w:ascii="仿宋" w:hAnsi="仿宋" w:eastAsia="仿宋" w:cs="宋体"/>
                <w:sz w:val="32"/>
                <w:szCs w:val="32"/>
                <w:lang w:val="zh-CN"/>
              </w:rPr>
              <w:t>退休人员工资和生活补助</w:t>
            </w:r>
            <w:r>
              <w:rPr>
                <w:rFonts w:hint="eastAsia" w:ascii="仿宋_GB2312" w:hAnsi="Times New Roman" w:eastAsia="仿宋_GB2312" w:cs="仿宋_GB2312"/>
                <w:sz w:val="32"/>
                <w:szCs w:val="32"/>
              </w:rPr>
              <w:t>支出。</w:t>
            </w:r>
          </w:p>
        </w:tc>
      </w:tr>
      <w:tr w14:paraId="451E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A0A79A8">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3.社会保障和就业支出（类）行政事业单位养老支出（款）机关事业单位基本养老保险缴费支出（项）10.80万元。主要用于</w:t>
            </w:r>
            <w:r>
              <w:rPr>
                <w:rFonts w:hint="eastAsia" w:ascii="仿宋" w:hAnsi="仿宋" w:eastAsia="仿宋" w:cs="宋体"/>
                <w:sz w:val="32"/>
                <w:szCs w:val="32"/>
                <w:lang w:val="zh-CN"/>
              </w:rPr>
              <w:t>在职人员养老保险缴费</w:t>
            </w:r>
            <w:r>
              <w:rPr>
                <w:rFonts w:hint="eastAsia" w:ascii="仿宋_GB2312" w:hAnsi="Times New Roman" w:eastAsia="仿宋_GB2312" w:cs="仿宋_GB2312"/>
                <w:sz w:val="32"/>
                <w:szCs w:val="32"/>
              </w:rPr>
              <w:t>支出。</w:t>
            </w:r>
          </w:p>
        </w:tc>
      </w:tr>
      <w:tr w14:paraId="43CB2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79"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3D37694">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4.社会保障和就业支出（类）行政事业单位养老支出（款）机关事业单位职业年金缴费支出（项）5.40万元。主要用于</w:t>
            </w:r>
            <w:r>
              <w:rPr>
                <w:rFonts w:hint="eastAsia" w:ascii="仿宋" w:hAnsi="仿宋" w:eastAsia="仿宋" w:cs="宋体"/>
                <w:sz w:val="32"/>
                <w:szCs w:val="32"/>
                <w:lang w:val="zh-CN"/>
              </w:rPr>
              <w:t>在职人员</w:t>
            </w:r>
            <w:r>
              <w:rPr>
                <w:rFonts w:hint="eastAsia" w:ascii="仿宋_GB2312" w:hAnsi="Times New Roman" w:eastAsia="仿宋_GB2312" w:cs="仿宋_GB2312"/>
                <w:sz w:val="32"/>
                <w:szCs w:val="32"/>
              </w:rPr>
              <w:t>职业年金支出。</w:t>
            </w:r>
          </w:p>
        </w:tc>
      </w:tr>
      <w:tr w14:paraId="3A30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BC9EA5">
            <w:pPr>
              <w:spacing w:beforeLines="0" w:afterLines="0" w:line="555" w:lineRule="exact"/>
              <w:ind w:left="20"/>
              <w:rPr>
                <w:rFonts w:hint="eastAsia" w:ascii="仿宋_GB2312" w:hAnsi="仿宋_GB2312" w:eastAsia="仿宋_GB2312"/>
                <w:sz w:val="32"/>
                <w:szCs w:val="24"/>
              </w:rPr>
            </w:pPr>
            <w:r>
              <w:rPr>
                <w:rFonts w:hint="eastAsia" w:ascii="仿宋_GB2312" w:hAnsi="仿宋_GB2312" w:eastAsia="仿宋_GB2312"/>
                <w:sz w:val="32"/>
                <w:szCs w:val="24"/>
              </w:rPr>
              <w:t>　　5.卫生健康支出（类）行政事业单位医疗（款）事业单位医疗（项）2.85万元。主要用于</w:t>
            </w:r>
            <w:r>
              <w:rPr>
                <w:rFonts w:hint="eastAsia" w:ascii="仿宋" w:hAnsi="仿宋" w:eastAsia="仿宋" w:cs="宋体"/>
                <w:sz w:val="32"/>
                <w:szCs w:val="32"/>
                <w:lang w:val="zh-CN"/>
              </w:rPr>
              <w:t>人员医疗缴费</w:t>
            </w:r>
            <w:r>
              <w:rPr>
                <w:rFonts w:hint="eastAsia" w:ascii="仿宋_GB2312" w:hAnsi="Times New Roman" w:eastAsia="仿宋_GB2312" w:cs="仿宋_GB2312"/>
                <w:sz w:val="32"/>
                <w:szCs w:val="32"/>
              </w:rPr>
              <w:t>支出。</w:t>
            </w:r>
          </w:p>
        </w:tc>
      </w:tr>
      <w:tr w14:paraId="7D0E7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5"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892286">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　　6.卫生健康支出（类）行政事业单位医疗（款）其他行政事业单位医疗支出（项）1.46万元。主要用于</w:t>
            </w:r>
            <w:r>
              <w:rPr>
                <w:rFonts w:hint="eastAsia" w:ascii="仿宋" w:hAnsi="仿宋" w:eastAsia="仿宋" w:cs="宋体"/>
                <w:sz w:val="32"/>
                <w:szCs w:val="32"/>
                <w:lang w:val="zh-CN"/>
              </w:rPr>
              <w:t>人员医疗补助</w:t>
            </w:r>
            <w:r>
              <w:rPr>
                <w:rFonts w:hint="eastAsia" w:ascii="仿宋_GB2312" w:hAnsi="Times New Roman" w:eastAsia="仿宋_GB2312" w:cs="仿宋_GB2312"/>
                <w:sz w:val="32"/>
                <w:szCs w:val="32"/>
              </w:rPr>
              <w:t>支出。</w:t>
            </w:r>
          </w:p>
        </w:tc>
      </w:tr>
      <w:tr w14:paraId="6368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0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701C622">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三、政府性基金预算财政拨款支出情况</w:t>
            </w:r>
          </w:p>
          <w:p w14:paraId="69DF4A6C">
            <w:pPr>
              <w:spacing w:beforeLines="0" w:afterLines="0" w:line="555" w:lineRule="exact"/>
              <w:ind w:firstLine="640"/>
              <w:rPr>
                <w:rFonts w:hint="eastAsia" w:ascii="仿宋_GB2312" w:hAnsi="仿宋_GB2312" w:eastAsia="仿宋_GB2312"/>
                <w:sz w:val="32"/>
                <w:szCs w:val="24"/>
              </w:rPr>
            </w:pPr>
            <w:r>
              <w:rPr>
                <w:rFonts w:hint="eastAsia" w:ascii="仿宋_GB2312" w:hAnsi="仿宋_GB2312" w:eastAsia="仿宋_GB2312"/>
                <w:sz w:val="32"/>
                <w:szCs w:val="24"/>
              </w:rPr>
              <w:t>　　2025年度政府性基金支出0.00万元（不含市对区转移支付项目），比2024年预算数增加0.00万元，增长0%，主要是由于</w:t>
            </w:r>
            <w:r>
              <w:rPr>
                <w:rFonts w:hint="eastAsia" w:ascii="仿宋_GB2312" w:hAnsi="??_GB2312" w:eastAsia="仿宋_GB2312" w:cs="仿宋_GB2312"/>
                <w:sz w:val="32"/>
                <w:szCs w:val="32"/>
              </w:rPr>
              <w:t>预算数为零。</w:t>
            </w:r>
          </w:p>
        </w:tc>
      </w:tr>
      <w:tr w14:paraId="09BE0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443"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BC7DA8">
            <w:pPr>
              <w:spacing w:beforeLines="0" w:afterLines="0" w:line="555" w:lineRule="exact"/>
              <w:rPr>
                <w:rFonts w:hint="eastAsia" w:ascii="仿宋_GB2312" w:hAnsi="仿宋_GB2312" w:eastAsia="仿宋_GB2312"/>
                <w:sz w:val="32"/>
                <w:szCs w:val="24"/>
              </w:rPr>
            </w:pPr>
            <w:r>
              <w:rPr>
                <w:rFonts w:hint="eastAsia" w:ascii="黑体" w:hAnsi="黑体" w:eastAsia="黑体"/>
                <w:sz w:val="32"/>
                <w:szCs w:val="24"/>
              </w:rPr>
              <w:t>　　四、“三公”经费财政拨款预算情况</w:t>
            </w:r>
          </w:p>
          <w:p w14:paraId="1D4C3C61">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厦门书画院单位2025年“三公”经费财政拨款预算数为0.18万元，其中：因公出国（境）经费0.00万元，公务接待费0.18万元，公务用车购置及运行费0.00万元。具体情况如下：</w:t>
            </w:r>
          </w:p>
        </w:tc>
      </w:tr>
      <w:tr w14:paraId="7CDE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6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1EF822">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（一）因公出国（境）经费</w:t>
            </w:r>
          </w:p>
          <w:p w14:paraId="457CAD9E">
            <w:pPr>
              <w:spacing w:beforeLines="0" w:afterLines="0" w:line="555" w:lineRule="exact"/>
              <w:ind w:firstLine="640"/>
              <w:rPr>
                <w:rFonts w:hint="eastAsia" w:ascii="楷体" w:hAnsi="楷体" w:eastAsia="楷体"/>
                <w:sz w:val="32"/>
                <w:szCs w:val="24"/>
              </w:rPr>
            </w:pPr>
            <w:r>
              <w:rPr>
                <w:rFonts w:hint="eastAsia" w:ascii="仿宋_GB2312" w:hAnsi="仿宋_GB2312" w:eastAsia="仿宋_GB2312"/>
                <w:sz w:val="32"/>
                <w:szCs w:val="24"/>
              </w:rPr>
              <w:t>2025年预算安排0.00万元。与上年预算相比增长0.00万元，主要原因是</w:t>
            </w:r>
            <w:r>
              <w:rPr>
                <w:rFonts w:hint="eastAsia" w:ascii="仿宋_GB2312" w:hAnsi="??_GB2312" w:eastAsia="仿宋_GB2312" w:cs="仿宋_GB2312"/>
                <w:sz w:val="32"/>
                <w:szCs w:val="32"/>
                <w:lang w:eastAsia="zh-CN"/>
              </w:rPr>
              <w:t>未安排出国支出。</w:t>
            </w:r>
          </w:p>
          <w:p w14:paraId="5E231112">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（二）公务接待费</w:t>
            </w:r>
          </w:p>
          <w:p w14:paraId="7450335D">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2025年预算安排0.18万元。主要用于</w:t>
            </w:r>
            <w:r>
              <w:rPr>
                <w:rFonts w:hint="eastAsia" w:ascii="仿宋" w:hAnsi="仿宋" w:eastAsia="仿宋" w:cs="宋体"/>
                <w:sz w:val="32"/>
                <w:szCs w:val="32"/>
                <w:lang w:val="zh-CN"/>
              </w:rPr>
              <w:t>国内艺术家交流</w:t>
            </w:r>
            <w:r>
              <w:rPr>
                <w:rFonts w:hint="eastAsia" w:ascii="仿宋_GB2312" w:hAnsi="??_GB2312" w:eastAsia="仿宋_GB2312" w:cs="仿宋_GB2312"/>
                <w:sz w:val="32"/>
                <w:szCs w:val="32"/>
              </w:rPr>
              <w:t>等方面的接待活动。</w:t>
            </w:r>
            <w:r>
              <w:rPr>
                <w:rFonts w:hint="eastAsia" w:ascii="仿宋_GB2312" w:hAnsi="仿宋_GB2312" w:eastAsia="仿宋_GB2312"/>
                <w:sz w:val="32"/>
                <w:szCs w:val="24"/>
              </w:rPr>
              <w:t>与上年预算相比增长0.00%，主要原因是:</w:t>
            </w:r>
            <w:r>
              <w:rPr>
                <w:rFonts w:hint="eastAsia" w:ascii="仿宋" w:hAnsi="仿宋" w:eastAsia="仿宋" w:cs="宋体"/>
                <w:sz w:val="32"/>
                <w:szCs w:val="32"/>
                <w:lang w:val="zh-CN"/>
              </w:rPr>
              <w:t>压缩公用支出</w:t>
            </w:r>
            <w:r>
              <w:rPr>
                <w:rFonts w:hint="eastAsia" w:ascii="仿宋_GB2312" w:hAnsi="??_GB2312" w:eastAsia="仿宋_GB2312" w:cs="仿宋_GB2312"/>
                <w:sz w:val="32"/>
                <w:szCs w:val="32"/>
              </w:rPr>
              <w:t>。</w:t>
            </w:r>
          </w:p>
          <w:p w14:paraId="461FBEA2">
            <w:pPr>
              <w:spacing w:beforeLines="0" w:afterLines="0" w:line="555" w:lineRule="exact"/>
              <w:rPr>
                <w:rFonts w:hint="eastAsia" w:ascii="仿宋_GB2312" w:hAnsi="仿宋_GB2312" w:eastAsia="仿宋_GB2312"/>
                <w:sz w:val="32"/>
                <w:szCs w:val="24"/>
              </w:rPr>
            </w:pPr>
            <w:r>
              <w:rPr>
                <w:rFonts w:hint="eastAsia" w:ascii="楷体" w:hAnsi="楷体" w:eastAsia="楷体"/>
                <w:sz w:val="32"/>
                <w:szCs w:val="24"/>
              </w:rPr>
              <w:t>（三）公务用车购置及运行费</w:t>
            </w:r>
          </w:p>
          <w:p w14:paraId="7F0B637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2025年预算安排0.00万元，其中：公务用车运行费0.00万元，主要用于公务用车燃油、维修、保险等方面支出；公务用车购置费0.00万元。与上年预算相比增长0.00万元，主要原因是:</w:t>
            </w:r>
            <w:r>
              <w:rPr>
                <w:rFonts w:hint="eastAsia" w:ascii="仿宋" w:hAnsi="仿宋" w:eastAsia="仿宋" w:cs="宋体"/>
                <w:sz w:val="32"/>
                <w:szCs w:val="32"/>
                <w:lang w:val="zh-CN"/>
              </w:rPr>
              <w:t>没有车辆</w:t>
            </w:r>
            <w:r>
              <w:rPr>
                <w:rFonts w:hint="eastAsia" w:ascii="仿宋_GB2312" w:hAnsi="??_GB2312" w:eastAsia="仿宋_GB2312" w:cs="仿宋_GB2312"/>
                <w:sz w:val="32"/>
                <w:szCs w:val="32"/>
              </w:rPr>
              <w:t>。</w:t>
            </w:r>
          </w:p>
        </w:tc>
      </w:tr>
      <w:tr w14:paraId="4FC37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46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C6FE059">
            <w:pPr>
              <w:spacing w:beforeLines="0" w:afterLines="0" w:line="555" w:lineRule="exact"/>
              <w:rPr>
                <w:rFonts w:hint="eastAsia" w:ascii="华文仿宋" w:hAnsi="华文仿宋" w:eastAsia="华文仿宋"/>
                <w:sz w:val="32"/>
                <w:szCs w:val="24"/>
              </w:rPr>
            </w:pPr>
            <w:r>
              <w:rPr>
                <w:rFonts w:hint="eastAsia" w:ascii="黑体" w:hAnsi="黑体" w:eastAsia="黑体"/>
                <w:sz w:val="32"/>
                <w:szCs w:val="24"/>
              </w:rPr>
              <w:t>　　五、其他重要事项的情况说明</w:t>
            </w:r>
          </w:p>
          <w:p w14:paraId="19A2F34C">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 w:hAnsi="楷体" w:eastAsia="楷体"/>
                <w:sz w:val="32"/>
                <w:szCs w:val="24"/>
              </w:rPr>
              <w:t>（一）机关运行经费</w:t>
            </w:r>
          </w:p>
          <w:p w14:paraId="35624138">
            <w:pPr>
              <w:spacing w:beforeLines="0" w:afterLines="0" w:line="555" w:lineRule="exact"/>
              <w:rPr>
                <w:rFonts w:hint="eastAsia" w:ascii="华文仿宋" w:hAnsi="华文仿宋" w:eastAsia="华文仿宋"/>
                <w:sz w:val="32"/>
                <w:szCs w:val="24"/>
              </w:rPr>
            </w:pPr>
            <w:r>
              <w:rPr>
                <w:rFonts w:hint="eastAsia" w:ascii="仿宋_GB2312" w:hAnsi="仿宋_GB2312" w:eastAsia="仿宋_GB2312"/>
                <w:sz w:val="32"/>
                <w:szCs w:val="24"/>
              </w:rPr>
              <w:t>　　2025年厦门书画院的机关运行经费经费财</w:t>
            </w:r>
            <w:r>
              <w:rPr>
                <w:rFonts w:hint="eastAsia" w:ascii="仿宋_GB2312" w:hAnsi="??_GB2312" w:eastAsia="仿宋_GB2312" w:cs="仿宋_GB2312"/>
                <w:color w:val="auto"/>
                <w:sz w:val="32"/>
                <w:szCs w:val="32"/>
              </w:rPr>
              <w:t>政拨款预算</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万元，比2023年预算增加</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万元，下降增长</w:t>
            </w:r>
            <w:r>
              <w:rPr>
                <w:rFonts w:hint="eastAsia" w:ascii="仿宋_GB2312" w:hAnsi="??_GB2312" w:eastAsia="仿宋_GB2312" w:cs="仿宋_GB2312"/>
                <w:color w:val="auto"/>
                <w:sz w:val="32"/>
                <w:szCs w:val="32"/>
                <w:lang w:val="en-US" w:eastAsia="zh-CN"/>
              </w:rPr>
              <w:t>0</w:t>
            </w:r>
            <w:r>
              <w:rPr>
                <w:rFonts w:hint="eastAsia" w:ascii="仿宋_GB2312" w:hAnsi="??_GB2312" w:eastAsia="仿宋_GB2312" w:cs="仿宋_GB2312"/>
                <w:color w:val="auto"/>
                <w:sz w:val="32"/>
                <w:szCs w:val="32"/>
              </w:rPr>
              <w:t>%。</w:t>
            </w:r>
          </w:p>
          <w:p w14:paraId="63A47636">
            <w:pPr>
              <w:spacing w:beforeLines="0" w:afterLines="0" w:line="555" w:lineRule="exact"/>
              <w:rPr>
                <w:rFonts w:hint="eastAsia" w:ascii="仿宋_GB2312" w:hAnsi="仿宋_GB2312" w:eastAsia="仿宋_GB2312"/>
                <w:sz w:val="32"/>
                <w:szCs w:val="24"/>
              </w:rPr>
            </w:pPr>
            <w:r>
              <w:rPr>
                <w:rFonts w:hint="eastAsia" w:ascii="华文仿宋" w:hAnsi="华文仿宋" w:eastAsia="华文仿宋"/>
                <w:sz w:val="32"/>
                <w:szCs w:val="24"/>
              </w:rPr>
              <w:t>　　</w:t>
            </w:r>
            <w:r>
              <w:rPr>
                <w:rFonts w:hint="eastAsia" w:ascii="楷体" w:hAnsi="楷体" w:eastAsia="楷体"/>
                <w:sz w:val="32"/>
                <w:szCs w:val="24"/>
              </w:rPr>
              <w:t>（二）政府采购情况</w:t>
            </w:r>
          </w:p>
          <w:p w14:paraId="773FB30A">
            <w:pPr>
              <w:spacing w:beforeLines="0" w:afterLines="0" w:line="555" w:lineRule="exact"/>
              <w:rPr>
                <w:rFonts w:hint="default" w:ascii="Dialog" w:hAnsi="Dialog" w:eastAsia="仿宋_GB2312"/>
                <w:sz w:val="32"/>
                <w:szCs w:val="24"/>
              </w:rPr>
            </w:pPr>
            <w:r>
              <w:rPr>
                <w:rFonts w:hint="eastAsia" w:ascii="仿宋_GB2312" w:hAnsi="仿宋_GB2312" w:eastAsia="仿宋_GB2312"/>
                <w:sz w:val="32"/>
                <w:szCs w:val="24"/>
              </w:rPr>
              <w:t>　　2025年厦门书画院政府采购预算总额0.00万元，其中：政府采购货物预算0.00万元，政府采购工程预算0.00万元，政府采购服务预算0.00万元。</w:t>
            </w:r>
          </w:p>
          <w:p w14:paraId="7622F2F2">
            <w:pPr>
              <w:spacing w:beforeLines="0" w:afterLines="0" w:line="555" w:lineRule="exact"/>
              <w:rPr>
                <w:rFonts w:hint="eastAsia" w:ascii="仿宋_GB2312" w:hAnsi="仿宋_GB2312" w:eastAsia="仿宋_GB2312"/>
                <w:sz w:val="32"/>
                <w:szCs w:val="24"/>
              </w:rPr>
            </w:pPr>
            <w:r>
              <w:rPr>
                <w:rFonts w:hint="eastAsia" w:ascii="仿宋_GB2312" w:hAnsi="Dialog" w:eastAsia="仿宋_GB2312"/>
                <w:sz w:val="32"/>
                <w:szCs w:val="24"/>
              </w:rPr>
              <w:t>　　</w:t>
            </w:r>
            <w:r>
              <w:rPr>
                <w:rFonts w:hint="eastAsia" w:ascii="楷体" w:hAnsi="楷体" w:eastAsia="楷体"/>
                <w:sz w:val="32"/>
                <w:szCs w:val="24"/>
              </w:rPr>
              <w:t>（三）国有资产占有使用情况</w:t>
            </w:r>
          </w:p>
          <w:p w14:paraId="1F21FF18">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截至2024年12月31日，厦门书画院所属各预算单位共有车辆</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辆，单位价值100万元以上设备</w:t>
            </w:r>
            <w:r>
              <w:rPr>
                <w:rFonts w:hint="eastAsia" w:ascii="仿宋_GB2312" w:hAnsi="仿宋_GB2312" w:eastAsia="仿宋_GB2312"/>
                <w:sz w:val="32"/>
                <w:szCs w:val="24"/>
                <w:lang w:val="en-US" w:eastAsia="zh-CN"/>
              </w:rPr>
              <w:t>0</w:t>
            </w:r>
            <w:r>
              <w:rPr>
                <w:rFonts w:hint="eastAsia" w:ascii="仿宋_GB2312" w:hAnsi="仿宋_GB2312" w:eastAsia="仿宋_GB2312"/>
                <w:sz w:val="32"/>
                <w:szCs w:val="24"/>
              </w:rPr>
              <w:t>台（套）。</w:t>
            </w:r>
          </w:p>
          <w:p w14:paraId="6547507D">
            <w:pPr>
              <w:spacing w:beforeLines="0" w:afterLines="0" w:line="555" w:lineRule="exact"/>
              <w:rPr>
                <w:rFonts w:hint="eastAsia" w:ascii="仿宋_GB2312" w:hAnsi="仿宋_GB2312" w:eastAsia="仿宋_GB2312"/>
                <w:sz w:val="32"/>
                <w:szCs w:val="24"/>
              </w:rPr>
            </w:pPr>
            <w:r>
              <w:rPr>
                <w:rFonts w:hint="eastAsia" w:ascii="仿宋_GB2312" w:hAnsi="Dialog" w:eastAsia="仿宋_GB2312"/>
                <w:sz w:val="32"/>
                <w:szCs w:val="24"/>
              </w:rPr>
              <w:t>　　</w:t>
            </w:r>
            <w:r>
              <w:rPr>
                <w:rFonts w:hint="eastAsia" w:ascii="楷体" w:hAnsi="楷体" w:eastAsia="楷体"/>
                <w:sz w:val="32"/>
                <w:szCs w:val="24"/>
              </w:rPr>
              <w:t>（四）绩效目标设置情况</w:t>
            </w:r>
          </w:p>
          <w:p w14:paraId="18D50726">
            <w:pPr>
              <w:spacing w:beforeLines="0" w:afterLines="0" w:line="555" w:lineRule="exact"/>
              <w:rPr>
                <w:rFonts w:hint="eastAsia" w:ascii="仿宋_GB2312" w:hAnsi="仿宋_GB2312" w:eastAsia="仿宋_GB2312"/>
                <w:sz w:val="32"/>
                <w:szCs w:val="24"/>
              </w:rPr>
            </w:pPr>
            <w:r>
              <w:rPr>
                <w:rFonts w:hint="eastAsia" w:ascii="仿宋_GB2312" w:hAnsi="仿宋_GB2312" w:eastAsia="仿宋_GB2312"/>
                <w:sz w:val="32"/>
                <w:szCs w:val="24"/>
              </w:rPr>
              <w:t>　　厦门书画院2025年实行绩效目标管理的二级项目1个，涉及一般公共预算拨款30.00万元、政府性基金预算拨款0.00万元。</w:t>
            </w:r>
          </w:p>
        </w:tc>
      </w:tr>
      <w:tr w14:paraId="61A7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7EA2F37">
            <w:pPr>
              <w:spacing w:beforeLines="0" w:afterLines="0" w:line="555" w:lineRule="exact"/>
              <w:ind w:left="20"/>
              <w:jc w:val="center"/>
              <w:rPr>
                <w:rFonts w:hint="eastAsia" w:ascii="黑体" w:hAnsi="黑体" w:eastAsia="黑体"/>
                <w:sz w:val="32"/>
                <w:szCs w:val="24"/>
              </w:rPr>
            </w:pPr>
          </w:p>
          <w:p w14:paraId="009B6A5B">
            <w:pPr>
              <w:spacing w:beforeLines="0" w:afterLines="0" w:line="555" w:lineRule="exact"/>
              <w:ind w:left="20"/>
              <w:jc w:val="center"/>
              <w:rPr>
                <w:rFonts w:hint="eastAsia" w:ascii="黑体" w:hAnsi="黑体" w:eastAsia="黑体"/>
                <w:sz w:val="32"/>
                <w:szCs w:val="24"/>
              </w:rPr>
            </w:pPr>
          </w:p>
          <w:p w14:paraId="426EBE28">
            <w:pPr>
              <w:spacing w:beforeLines="0" w:afterLines="0" w:line="555" w:lineRule="exact"/>
              <w:ind w:left="20"/>
              <w:jc w:val="center"/>
              <w:rPr>
                <w:rFonts w:hint="eastAsia" w:ascii="黑体" w:hAnsi="黑体" w:eastAsia="黑体"/>
                <w:sz w:val="32"/>
                <w:szCs w:val="24"/>
              </w:rPr>
            </w:pPr>
          </w:p>
          <w:p w14:paraId="6D06137C">
            <w:pPr>
              <w:spacing w:beforeLines="0" w:afterLines="0" w:line="555" w:lineRule="exact"/>
              <w:ind w:left="20"/>
              <w:jc w:val="center"/>
              <w:rPr>
                <w:rFonts w:hint="eastAsia" w:ascii="黑体" w:hAnsi="黑体" w:eastAsia="黑体"/>
                <w:sz w:val="32"/>
                <w:szCs w:val="24"/>
              </w:rPr>
            </w:pPr>
          </w:p>
          <w:p w14:paraId="37C68716">
            <w:pPr>
              <w:spacing w:beforeLines="0" w:afterLines="0" w:line="555" w:lineRule="exact"/>
              <w:ind w:left="20"/>
              <w:jc w:val="center"/>
              <w:rPr>
                <w:rFonts w:hint="eastAsia" w:ascii="黑体" w:hAnsi="黑体" w:eastAsia="黑体"/>
                <w:sz w:val="32"/>
                <w:szCs w:val="24"/>
              </w:rPr>
            </w:pPr>
          </w:p>
          <w:p w14:paraId="446AF8C6">
            <w:pPr>
              <w:spacing w:beforeLines="0" w:afterLines="0" w:line="555" w:lineRule="exact"/>
              <w:ind w:left="20"/>
              <w:jc w:val="center"/>
              <w:rPr>
                <w:rFonts w:hint="eastAsia" w:ascii="黑体" w:hAnsi="黑体" w:eastAsia="黑体"/>
                <w:sz w:val="32"/>
                <w:szCs w:val="24"/>
              </w:rPr>
            </w:pPr>
          </w:p>
          <w:p w14:paraId="5C271424">
            <w:pPr>
              <w:spacing w:beforeLines="0" w:afterLines="0" w:line="555" w:lineRule="exact"/>
              <w:ind w:left="20"/>
              <w:jc w:val="center"/>
              <w:rPr>
                <w:rFonts w:hint="eastAsia" w:ascii="黑体" w:hAnsi="黑体" w:eastAsia="黑体"/>
                <w:sz w:val="32"/>
                <w:szCs w:val="24"/>
              </w:rPr>
            </w:pPr>
          </w:p>
          <w:p w14:paraId="267C45B9">
            <w:pPr>
              <w:spacing w:beforeLines="0" w:afterLines="0" w:line="555" w:lineRule="exact"/>
              <w:ind w:left="20"/>
              <w:jc w:val="center"/>
              <w:rPr>
                <w:rFonts w:hint="eastAsia" w:ascii="黑体" w:hAnsi="黑体" w:eastAsia="黑体"/>
                <w:sz w:val="32"/>
                <w:szCs w:val="24"/>
              </w:rPr>
            </w:pPr>
          </w:p>
          <w:p w14:paraId="49607266">
            <w:pPr>
              <w:spacing w:beforeLines="0" w:afterLines="0" w:line="555" w:lineRule="exact"/>
              <w:ind w:left="20"/>
              <w:jc w:val="center"/>
              <w:rPr>
                <w:rFonts w:hint="eastAsia" w:ascii="黑体" w:hAnsi="黑体" w:eastAsia="黑体"/>
                <w:sz w:val="32"/>
                <w:szCs w:val="24"/>
              </w:rPr>
            </w:pPr>
          </w:p>
          <w:p w14:paraId="041A0674">
            <w:pPr>
              <w:spacing w:beforeLines="0" w:afterLines="0" w:line="555" w:lineRule="exact"/>
              <w:ind w:left="20"/>
              <w:jc w:val="center"/>
              <w:rPr>
                <w:rFonts w:hint="eastAsia" w:ascii="黑体" w:hAnsi="黑体" w:eastAsia="黑体"/>
                <w:sz w:val="32"/>
                <w:szCs w:val="24"/>
              </w:rPr>
            </w:pPr>
          </w:p>
          <w:p w14:paraId="32381FE8">
            <w:pPr>
              <w:spacing w:beforeLines="0" w:afterLines="0" w:line="555" w:lineRule="exact"/>
              <w:ind w:left="20"/>
              <w:jc w:val="center"/>
              <w:rPr>
                <w:rFonts w:hint="eastAsia" w:ascii="黑体" w:hAnsi="黑体" w:eastAsia="黑体"/>
                <w:sz w:val="32"/>
                <w:szCs w:val="24"/>
              </w:rPr>
            </w:pPr>
          </w:p>
          <w:p w14:paraId="38513079">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第三部分  名词解释</w:t>
            </w:r>
          </w:p>
        </w:tc>
      </w:tr>
      <w:tr w14:paraId="66E4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63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19806FB">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一、基本支出</w:t>
            </w:r>
            <w:r>
              <w:rPr>
                <w:rFonts w:hint="eastAsia" w:ascii="楷体" w:hAnsi="楷体" w:eastAsia="楷体"/>
                <w:sz w:val="32"/>
                <w:szCs w:val="24"/>
              </w:rPr>
              <w:t>：</w:t>
            </w:r>
            <w:r>
              <w:rPr>
                <w:rFonts w:hint="eastAsia" w:ascii="仿宋_GB2312" w:hAnsi="仿宋_GB2312" w:eastAsia="仿宋_GB2312"/>
                <w:sz w:val="32"/>
                <w:szCs w:val="24"/>
              </w:rPr>
              <w:t>指为保障机构正常运转、完成日常工作任务而发生的人员支出、对个人和家庭的补助支出和公用支出。</w:t>
            </w:r>
          </w:p>
          <w:p w14:paraId="03580C0A">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二、项目支出：</w:t>
            </w:r>
            <w:r>
              <w:rPr>
                <w:rFonts w:hint="eastAsia" w:ascii="仿宋_GB2312" w:hAnsi="仿宋_GB2312" w:eastAsia="仿宋_GB2312"/>
                <w:sz w:val="32"/>
                <w:szCs w:val="24"/>
              </w:rPr>
              <w:t>指在基本支出之外为完成特定行政任务和事业发展目标所发生的支出，包括部门专项、发展经费和基建项目。</w:t>
            </w:r>
          </w:p>
          <w:p w14:paraId="43E7FC42">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三、“三公”经费：</w:t>
            </w:r>
            <w:r>
              <w:rPr>
                <w:rFonts w:hint="eastAsia" w:ascii="仿宋_GB2312" w:hAnsi="仿宋_GB2312" w:eastAsia="仿宋_GB2312"/>
                <w:sz w:val="32"/>
                <w:szCs w:val="24"/>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燃料费、维修费、过路过桥费、保险费、安全奖励费用等支出；公务接待费反映单位按规定开支的各类公务接待（含外宾接待）支出。</w:t>
            </w:r>
          </w:p>
          <w:p w14:paraId="453DD060">
            <w:pPr>
              <w:spacing w:beforeLines="0" w:afterLines="0" w:line="555" w:lineRule="exact"/>
              <w:rPr>
                <w:rFonts w:hint="eastAsia" w:ascii="楷体_GB2312" w:hAnsi="楷体_GB2312" w:eastAsia="楷体_GB2312"/>
                <w:sz w:val="32"/>
                <w:szCs w:val="24"/>
              </w:rPr>
            </w:pPr>
            <w:r>
              <w:rPr>
                <w:rFonts w:hint="eastAsia" w:ascii="楷体_GB2312" w:hAnsi="楷体_GB2312" w:eastAsia="楷体_GB2312"/>
                <w:sz w:val="32"/>
                <w:szCs w:val="24"/>
              </w:rPr>
              <w:t>　　四、机关运行经费：</w:t>
            </w:r>
            <w:r>
              <w:rPr>
                <w:rFonts w:hint="eastAsia" w:ascii="仿宋_GB2312" w:hAnsi="仿宋_GB2312" w:eastAsia="仿宋_GB2312"/>
                <w:sz w:val="32"/>
                <w:szCs w:val="24"/>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A7CF481">
            <w:pPr>
              <w:spacing w:beforeLines="0" w:afterLines="0" w:line="555" w:lineRule="exact"/>
              <w:rPr>
                <w:rFonts w:hint="eastAsia" w:ascii="仿宋_GB2312" w:hAnsi="仿宋_GB2312" w:eastAsia="仿宋_GB2312"/>
                <w:sz w:val="32"/>
                <w:szCs w:val="24"/>
              </w:rPr>
            </w:pPr>
            <w:r>
              <w:rPr>
                <w:rFonts w:hint="eastAsia" w:ascii="楷体_GB2312" w:hAnsi="楷体_GB2312" w:eastAsia="楷体_GB2312"/>
                <w:sz w:val="32"/>
                <w:szCs w:val="24"/>
              </w:rPr>
              <w:t>　　五、其他名词解释。</w:t>
            </w:r>
            <w:r>
              <w:rPr>
                <w:rFonts w:hint="eastAsia" w:ascii="仿宋_GB2312" w:hAnsi="仿宋_GB2312" w:eastAsia="仿宋_GB2312"/>
                <w:sz w:val="32"/>
                <w:szCs w:val="24"/>
              </w:rPr>
              <w:t>由各单位根据实际情况予以增加说明。</w:t>
            </w:r>
          </w:p>
        </w:tc>
      </w:tr>
      <w:tr w14:paraId="1D6DB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51"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97EAD52">
            <w:pPr>
              <w:spacing w:beforeLines="0" w:afterLines="0" w:line="555" w:lineRule="exact"/>
              <w:ind w:left="20"/>
              <w:jc w:val="center"/>
              <w:rPr>
                <w:rFonts w:hint="eastAsia" w:ascii="黑体" w:hAnsi="黑体" w:eastAsia="黑体"/>
                <w:sz w:val="32"/>
                <w:szCs w:val="24"/>
              </w:rPr>
            </w:pPr>
          </w:p>
          <w:p w14:paraId="38D08E00">
            <w:pPr>
              <w:spacing w:beforeLines="0" w:afterLines="0" w:line="555" w:lineRule="exact"/>
              <w:ind w:left="20"/>
              <w:jc w:val="center"/>
              <w:rPr>
                <w:rFonts w:hint="eastAsia" w:ascii="黑体" w:hAnsi="黑体" w:eastAsia="黑体"/>
                <w:sz w:val="32"/>
                <w:szCs w:val="24"/>
              </w:rPr>
            </w:pPr>
          </w:p>
          <w:p w14:paraId="3B4B1B4A">
            <w:pPr>
              <w:spacing w:beforeLines="0" w:afterLines="0" w:line="555" w:lineRule="exact"/>
              <w:ind w:left="20"/>
              <w:jc w:val="center"/>
              <w:rPr>
                <w:rFonts w:hint="eastAsia" w:ascii="黑体" w:hAnsi="黑体" w:eastAsia="黑体"/>
                <w:sz w:val="32"/>
                <w:szCs w:val="24"/>
              </w:rPr>
            </w:pPr>
          </w:p>
          <w:p w14:paraId="2F551639">
            <w:pPr>
              <w:spacing w:beforeLines="0" w:afterLines="0" w:line="555" w:lineRule="exact"/>
              <w:ind w:left="20"/>
              <w:jc w:val="center"/>
              <w:rPr>
                <w:rFonts w:hint="eastAsia" w:ascii="黑体" w:hAnsi="黑体" w:eastAsia="黑体"/>
                <w:sz w:val="32"/>
                <w:szCs w:val="24"/>
              </w:rPr>
            </w:pPr>
          </w:p>
          <w:p w14:paraId="292C7F93">
            <w:pPr>
              <w:spacing w:beforeLines="0" w:afterLines="0" w:line="555" w:lineRule="exact"/>
              <w:ind w:left="20"/>
              <w:jc w:val="center"/>
              <w:rPr>
                <w:rFonts w:hint="eastAsia" w:ascii="黑体" w:hAnsi="黑体" w:eastAsia="黑体"/>
                <w:sz w:val="32"/>
                <w:szCs w:val="24"/>
              </w:rPr>
            </w:pPr>
          </w:p>
          <w:p w14:paraId="7C2DD4BD">
            <w:pPr>
              <w:spacing w:beforeLines="0" w:afterLines="0" w:line="555" w:lineRule="exact"/>
              <w:ind w:left="20"/>
              <w:jc w:val="center"/>
              <w:rPr>
                <w:rFonts w:hint="eastAsia" w:ascii="黑体" w:hAnsi="黑体" w:eastAsia="黑体"/>
                <w:sz w:val="32"/>
                <w:szCs w:val="24"/>
              </w:rPr>
            </w:pPr>
            <w:r>
              <w:rPr>
                <w:rFonts w:hint="eastAsia" w:ascii="黑体" w:hAnsi="黑体" w:eastAsia="黑体"/>
                <w:sz w:val="32"/>
                <w:szCs w:val="24"/>
              </w:rPr>
              <w:t>第四部分  2025年单位预算附表</w:t>
            </w:r>
          </w:p>
        </w:tc>
      </w:tr>
      <w:tr w14:paraId="1062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27" w:hRule="atLeast"/>
        </w:trPr>
        <w:tc>
          <w:tcPr>
            <w:tcW w:w="868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4C3081">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一、部门收支预算总体情况表</w:t>
            </w:r>
          </w:p>
          <w:p w14:paraId="5E1EA9A0">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二、部门收入预算总体情况表</w:t>
            </w:r>
          </w:p>
          <w:p w14:paraId="455F0B8C">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三、部门支出预算总体情况表</w:t>
            </w:r>
          </w:p>
          <w:p w14:paraId="0059F0D4">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四、财政拨款收支预算总体情况表</w:t>
            </w:r>
          </w:p>
          <w:p w14:paraId="388BF521">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五、一般公共预算支出情况表</w:t>
            </w:r>
          </w:p>
          <w:p w14:paraId="697AD1FE">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六、一般公共预算基本支出情况表</w:t>
            </w:r>
          </w:p>
          <w:p w14:paraId="2B09B5EC">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七、一般公共预算“三公”经费支出情况表</w:t>
            </w:r>
          </w:p>
          <w:p w14:paraId="1684535F">
            <w:pPr>
              <w:spacing w:beforeLines="0" w:afterLines="0" w:line="540" w:lineRule="exact"/>
              <w:rPr>
                <w:rFonts w:hint="eastAsia" w:ascii="仿宋_GB2312" w:hAnsi="仿宋_GB2312" w:eastAsia="仿宋_GB2312"/>
                <w:sz w:val="32"/>
                <w:szCs w:val="24"/>
              </w:rPr>
            </w:pPr>
            <w:r>
              <w:rPr>
                <w:rFonts w:hint="eastAsia" w:ascii="仿宋_GB2312" w:hAnsi="仿宋_GB2312" w:eastAsia="仿宋_GB2312"/>
                <w:sz w:val="32"/>
                <w:szCs w:val="24"/>
              </w:rPr>
              <w:t>　　八、政府性基金预算支出情况表</w:t>
            </w:r>
          </w:p>
          <w:p w14:paraId="7A3F921F">
            <w:pPr>
              <w:spacing w:beforeLines="0" w:afterLines="0" w:line="540" w:lineRule="exact"/>
              <w:rPr>
                <w:rFonts w:hint="eastAsia" w:ascii="仿宋" w:hAnsi="仿宋" w:eastAsia="仿宋"/>
                <w:sz w:val="32"/>
                <w:szCs w:val="24"/>
              </w:rPr>
            </w:pPr>
            <w:r>
              <w:rPr>
                <w:rFonts w:hint="eastAsia" w:ascii="仿宋_GB2312" w:hAnsi="仿宋_GB2312" w:eastAsia="仿宋_GB2312"/>
                <w:sz w:val="32"/>
                <w:szCs w:val="24"/>
              </w:rPr>
              <w:t>　　九、市对区转移支付项目支出预算表</w:t>
            </w:r>
          </w:p>
          <w:p w14:paraId="76372823">
            <w:pPr>
              <w:spacing w:beforeLines="0" w:afterLines="0" w:line="540" w:lineRule="exact"/>
              <w:rPr>
                <w:rFonts w:hint="eastAsia" w:ascii="黑体" w:hAnsi="黑体" w:eastAsia="黑体"/>
                <w:sz w:val="32"/>
                <w:szCs w:val="24"/>
              </w:rPr>
            </w:pPr>
            <w:r>
              <w:rPr>
                <w:rFonts w:hint="eastAsia" w:ascii="黑体" w:hAnsi="黑体" w:eastAsia="黑体"/>
                <w:sz w:val="32"/>
                <w:szCs w:val="24"/>
              </w:rPr>
              <w:t>　</w:t>
            </w:r>
          </w:p>
        </w:tc>
      </w:tr>
    </w:tbl>
    <w:p w14:paraId="0FDF0E77">
      <w:pPr>
        <w:spacing w:beforeLines="0" w:afterLines="0"/>
        <w:rPr>
          <w:rFonts w:hint="default"/>
          <w:sz w:val="24"/>
          <w:szCs w:val="24"/>
        </w:rPr>
      </w:pPr>
    </w:p>
    <w:sectPr>
      <w:footerReference r:id="rId4" w:type="default"/>
      <w:pgSz w:w="11905" w:h="16837"/>
      <w:pgMar w:top="1388" w:right="1559" w:bottom="1388" w:left="155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roman"/>
    <w:pitch w:val="default"/>
    <w:sig w:usb0="E0002AFF" w:usb1="C0007843" w:usb2="00000009" w:usb3="00000000" w:csb0="400001FF" w:csb1="FFFF0000"/>
  </w:font>
  <w:font w:name="方正小标宋简体">
    <w:panose1 w:val="02010601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_GB2312">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roma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67513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wBefore w:w="0" w:type="dxa"/>
        <w:wAfter w:w="0" w:type="dxa"/>
        <w:jc w:val="center"/>
      </w:trPr>
      <w:tc>
        <w:tcPr>
          <w:tcW w:w="3163" w:type="dxa"/>
          <w:tcBorders>
            <w:top w:val="nil"/>
            <w:left w:val="nil"/>
            <w:bottom w:val="nil"/>
            <w:right w:val="nil"/>
            <w:tl2br w:val="nil"/>
            <w:tr2bl w:val="nil"/>
          </w:tcBorders>
          <w:shd w:val="clear" w:color="auto" w:fill="FFFFFF"/>
          <w:noWrap w:val="0"/>
          <w:vAlign w:val="top"/>
        </w:tcPr>
        <w:p w14:paraId="2F43CB64">
          <w:pPr>
            <w:spacing w:beforeLines="0" w:afterLines="0"/>
            <w:rPr>
              <w:rFonts w:hint="default"/>
              <w:sz w:val="24"/>
              <w:szCs w:val="24"/>
            </w:rPr>
          </w:pPr>
        </w:p>
      </w:tc>
      <w:tc>
        <w:tcPr>
          <w:tcW w:w="3163" w:type="dxa"/>
          <w:tcBorders>
            <w:top w:val="nil"/>
            <w:left w:val="nil"/>
            <w:bottom w:val="nil"/>
            <w:right w:val="nil"/>
            <w:tl2br w:val="nil"/>
            <w:tr2bl w:val="nil"/>
          </w:tcBorders>
          <w:shd w:val="clear" w:color="auto" w:fill="FFFFFF"/>
          <w:noWrap w:val="0"/>
          <w:vAlign w:val="top"/>
        </w:tcPr>
        <w:p w14:paraId="33631270">
          <w:pPr>
            <w:spacing w:beforeLines="0" w:afterLines="0" w:line="320" w:lineRule="atLeast"/>
            <w:jc w:val="center"/>
            <w:rPr>
              <w:rFonts w:hint="eastAsia" w:ascii="宋体" w:hAnsi="宋体"/>
              <w:sz w:val="18"/>
              <w:szCs w:val="24"/>
            </w:rPr>
          </w:pPr>
          <w:r>
            <w:rPr>
              <w:rFonts w:hint="eastAsia" w:ascii="宋体" w:hAnsi="宋体"/>
              <w:sz w:val="18"/>
              <w:szCs w:val="24"/>
            </w:rPr>
            <w:fldChar w:fldCharType="begin"/>
          </w:r>
          <w:r>
            <w:rPr>
              <w:rFonts w:hint="eastAsia" w:ascii="宋体" w:hAnsi="宋体"/>
              <w:sz w:val="18"/>
              <w:szCs w:val="24"/>
            </w:rPr>
            <w:instrText xml:space="preserve">PAGE</w:instrText>
          </w:r>
          <w:r>
            <w:rPr>
              <w:rFonts w:hint="eastAsia" w:ascii="宋体" w:hAnsi="宋体"/>
              <w:sz w:val="18"/>
              <w:szCs w:val="24"/>
            </w:rPr>
            <w:fldChar w:fldCharType="separate"/>
          </w:r>
          <w:r>
            <w:rPr>
              <w:rFonts w:hint="eastAsia" w:ascii="宋体" w:hAnsi="宋体"/>
              <w:sz w:val="18"/>
              <w:szCs w:val="24"/>
            </w:rPr>
            <w:t xml:space="preserve"> </w:t>
          </w:r>
          <w:r>
            <w:rPr>
              <w:rFonts w:hint="eastAsia" w:ascii="宋体" w:hAnsi="宋体"/>
              <w:sz w:val="18"/>
              <w:szCs w:val="24"/>
            </w:rPr>
            <w:fldChar w:fldCharType="end"/>
          </w:r>
          <w:r>
            <w:rPr>
              <w:rFonts w:hint="eastAsia" w:ascii="宋体" w:hAnsi="宋体"/>
              <w:sz w:val="18"/>
              <w:szCs w:val="24"/>
            </w:rPr>
            <w:t xml:space="preserve"> </w:t>
          </w:r>
        </w:p>
      </w:tc>
      <w:tc>
        <w:tcPr>
          <w:tcW w:w="3163" w:type="dxa"/>
          <w:tcBorders>
            <w:top w:val="nil"/>
            <w:left w:val="nil"/>
            <w:bottom w:val="nil"/>
            <w:right w:val="nil"/>
            <w:tl2br w:val="nil"/>
            <w:tr2bl w:val="nil"/>
          </w:tcBorders>
          <w:shd w:val="clear" w:color="auto" w:fill="FFFFFF"/>
          <w:noWrap w:val="0"/>
          <w:vAlign w:val="top"/>
        </w:tcPr>
        <w:p w14:paraId="2294C0B7">
          <w:pPr>
            <w:spacing w:beforeLines="0" w:afterLines="0"/>
            <w:rPr>
              <w:rFonts w:hint="default"/>
              <w:sz w:val="24"/>
              <w:szCs w:val="24"/>
            </w:rPr>
          </w:pPr>
        </w:p>
      </w:tc>
    </w:tr>
  </w:tbl>
  <w:p w14:paraId="00F096D8">
    <w:pPr>
      <w:spacing w:beforeLines="0" w:afterLines="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5C07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b/>
      <w:i/>
      <w:color w:val="000000"/>
      <w:sz w:val="28"/>
      <w:szCs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b/>
      <w:color w:val="000000"/>
      <w:sz w:val="26"/>
      <w:szCs w:val="24"/>
    </w:rPr>
  </w:style>
  <w:style w:type="character" w:default="1" w:styleId="6">
    <w:name w:val="Default Paragraph Font"/>
    <w:unhideWhenUsed/>
    <w:uiPriority w:val="99"/>
    <w:rPr>
      <w:rFonts w:hint="default"/>
      <w:sz w:val="24"/>
      <w:szCs w:val="24"/>
    </w:rPr>
  </w:style>
  <w:style w:type="table" w:default="1" w:styleId="5">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2619</Words>
  <Characters>2899</Characters>
  <TotalTime>0</TotalTime>
  <ScaleCrop>false</ScaleCrop>
  <LinksUpToDate>false</LinksUpToDate>
  <CharactersWithSpaces>3095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2025-02-14T08:06:07Z</dcterms:created>
  <dc:creator>Administrator</dc:creator>
  <cp:lastModifiedBy>小明月</cp:lastModifiedBy>
  <dcterms:modified xsi:type="dcterms:W3CDTF">2025-02-14T08:06:19Z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E7F1D1E610574F2795968455A1D3B963_13</vt:lpwstr>
  </property>
</Properties>
</file>